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15" w:rsidRDefault="009E2A15" w:rsidP="009E2A15">
      <w:pPr>
        <w:ind w:left="-990" w:right="-900"/>
        <w:jc w:val="center"/>
        <w:rPr>
          <w:rFonts w:ascii="Times New Roman" w:hAnsi="Times New Roman" w:cs="Times New Roman"/>
          <w:b/>
        </w:rPr>
      </w:pPr>
    </w:p>
    <w:p w:rsidR="009E2A15" w:rsidRDefault="009E2A15" w:rsidP="009E2A15">
      <w:pPr>
        <w:ind w:left="-990" w:right="-900"/>
        <w:jc w:val="center"/>
        <w:rPr>
          <w:rFonts w:ascii="Times New Roman" w:hAnsi="Times New Roman" w:cs="Times New Roman"/>
          <w:b/>
        </w:rPr>
      </w:pPr>
    </w:p>
    <w:p w:rsidR="009E2A15" w:rsidRPr="009E2A15" w:rsidRDefault="009E2A15" w:rsidP="009E2A15">
      <w:pPr>
        <w:ind w:left="-990" w:right="-900"/>
        <w:jc w:val="center"/>
        <w:rPr>
          <w:rFonts w:ascii="Times New Roman" w:hAnsi="Times New Roman" w:cs="Times New Roman"/>
          <w:b/>
        </w:rPr>
      </w:pPr>
      <w:r w:rsidRPr="009E2A15">
        <w:rPr>
          <w:rFonts w:ascii="Times New Roman" w:hAnsi="Times New Roman" w:cs="Times New Roman"/>
          <w:b/>
        </w:rPr>
        <w:t>Annexure II</w:t>
      </w:r>
    </w:p>
    <w:p w:rsidR="009E2A15" w:rsidRPr="009E2A15" w:rsidRDefault="009E2A15" w:rsidP="009E2A15">
      <w:pPr>
        <w:ind w:left="-990" w:right="-900"/>
        <w:jc w:val="center"/>
        <w:rPr>
          <w:rFonts w:ascii="Times New Roman" w:hAnsi="Times New Roman" w:cs="Times New Roman"/>
          <w:b/>
        </w:rPr>
      </w:pPr>
      <w:r w:rsidRPr="009E2A15">
        <w:rPr>
          <w:rFonts w:ascii="Times New Roman" w:hAnsi="Times New Roman" w:cs="Times New Roman"/>
          <w:b/>
        </w:rPr>
        <w:t>Format for submitting the half yearly financial results by banks and NBFCs</w:t>
      </w:r>
    </w:p>
    <w:p w:rsidR="009E2A15" w:rsidRPr="009E2A15" w:rsidRDefault="009E2A15" w:rsidP="009E2A15">
      <w:pPr>
        <w:ind w:left="-990" w:right="-900"/>
        <w:jc w:val="right"/>
        <w:rPr>
          <w:rFonts w:ascii="Times New Roman" w:hAnsi="Times New Roman" w:cs="Times New Roman"/>
          <w:b/>
        </w:rPr>
      </w:pPr>
      <w:r w:rsidRPr="009E2A15">
        <w:rPr>
          <w:rFonts w:ascii="Times New Roman" w:hAnsi="Times New Roman" w:cs="Times New Roman"/>
        </w:rPr>
        <w:t xml:space="preserve">(Rs. In </w:t>
      </w:r>
      <w:proofErr w:type="spellStart"/>
      <w:r w:rsidRPr="009E2A15">
        <w:rPr>
          <w:rFonts w:ascii="Times New Roman" w:hAnsi="Times New Roman" w:cs="Times New Roman"/>
        </w:rPr>
        <w:t>lacs</w:t>
      </w:r>
      <w:proofErr w:type="spellEnd"/>
      <w:r w:rsidRPr="009E2A15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11160" w:type="dxa"/>
        <w:tblInd w:w="-792" w:type="dxa"/>
        <w:tblLook w:val="04A0"/>
      </w:tblPr>
      <w:tblGrid>
        <w:gridCol w:w="2707"/>
        <w:gridCol w:w="2153"/>
        <w:gridCol w:w="2250"/>
        <w:gridCol w:w="2070"/>
        <w:gridCol w:w="1980"/>
      </w:tblGrid>
      <w:tr w:rsidR="009E2A15" w:rsidRPr="009E2A15" w:rsidTr="009E2A15">
        <w:trPr>
          <w:trHeight w:val="1155"/>
        </w:trPr>
        <w:tc>
          <w:tcPr>
            <w:tcW w:w="2707" w:type="dxa"/>
            <w:vMerge w:val="restart"/>
          </w:tcPr>
          <w:p w:rsidR="009E2A15" w:rsidRPr="009E2A15" w:rsidRDefault="009E2A15" w:rsidP="009E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15">
              <w:rPr>
                <w:rFonts w:ascii="Times New Roman" w:hAnsi="Times New Roman" w:cs="Times New Roman"/>
                <w:b/>
              </w:rPr>
              <w:t>Particulars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9E2A15" w:rsidRPr="009E2A15" w:rsidRDefault="009E2A15" w:rsidP="009E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15">
              <w:rPr>
                <w:rFonts w:ascii="Times New Roman" w:hAnsi="Times New Roman" w:cs="Times New Roman"/>
                <w:b/>
              </w:rPr>
              <w:t>6 months</w:t>
            </w:r>
          </w:p>
          <w:p w:rsidR="009E2A15" w:rsidRPr="009E2A15" w:rsidRDefault="009E2A15" w:rsidP="009E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15">
              <w:rPr>
                <w:rFonts w:ascii="Times New Roman" w:hAnsi="Times New Roman" w:cs="Times New Roman"/>
                <w:b/>
              </w:rPr>
              <w:t>ended</w:t>
            </w:r>
          </w:p>
          <w:p w:rsidR="009E2A15" w:rsidRPr="009E2A15" w:rsidRDefault="009E2A15" w:rsidP="009E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1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9E2A1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9E2A1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9E2A15">
              <w:rPr>
                <w:rFonts w:ascii="Times New Roman" w:hAnsi="Times New Roman" w:cs="Times New Roman"/>
                <w:b/>
              </w:rPr>
              <w:t>yyyy</w:t>
            </w:r>
            <w:proofErr w:type="spellEnd"/>
            <w:r w:rsidRPr="009E2A15">
              <w:rPr>
                <w:rFonts w:ascii="Times New Roman" w:hAnsi="Times New Roman" w:cs="Times New Roman"/>
                <w:b/>
              </w:rPr>
              <w:t>)</w:t>
            </w:r>
          </w:p>
          <w:p w:rsidR="009E2A15" w:rsidRPr="009E2A15" w:rsidRDefault="009E2A15" w:rsidP="009E2A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2A15" w:rsidRPr="009E2A15" w:rsidRDefault="009E2A15" w:rsidP="009E2A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E2A15" w:rsidRPr="009E2A15" w:rsidRDefault="009E2A15" w:rsidP="009E2A1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2A15">
              <w:rPr>
                <w:rFonts w:ascii="Times New Roman" w:hAnsi="Times New Roman" w:cs="Times New Roman"/>
                <w:b/>
              </w:rPr>
              <w:t>Correspondin</w:t>
            </w:r>
            <w:proofErr w:type="spellEnd"/>
          </w:p>
          <w:p w:rsidR="009E2A15" w:rsidRPr="009E2A15" w:rsidRDefault="009E2A15" w:rsidP="009E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15">
              <w:rPr>
                <w:rFonts w:ascii="Times New Roman" w:hAnsi="Times New Roman" w:cs="Times New Roman"/>
                <w:b/>
              </w:rPr>
              <w:t>g 6 months</w:t>
            </w:r>
          </w:p>
          <w:p w:rsidR="009E2A15" w:rsidRPr="009E2A15" w:rsidRDefault="009E2A15" w:rsidP="009E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15">
              <w:rPr>
                <w:rFonts w:ascii="Times New Roman" w:hAnsi="Times New Roman" w:cs="Times New Roman"/>
                <w:b/>
              </w:rPr>
              <w:t>ended in the</w:t>
            </w:r>
          </w:p>
          <w:p w:rsidR="009E2A15" w:rsidRPr="009E2A15" w:rsidRDefault="009E2A15" w:rsidP="009E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15">
              <w:rPr>
                <w:rFonts w:ascii="Times New Roman" w:hAnsi="Times New Roman" w:cs="Times New Roman"/>
                <w:b/>
              </w:rPr>
              <w:t>previous year</w:t>
            </w:r>
          </w:p>
          <w:p w:rsidR="009E2A15" w:rsidRPr="009E2A15" w:rsidRDefault="009E2A15" w:rsidP="009E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1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9E2A1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9E2A1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9E2A15">
              <w:rPr>
                <w:rFonts w:ascii="Times New Roman" w:hAnsi="Times New Roman" w:cs="Times New Roman"/>
                <w:b/>
              </w:rPr>
              <w:t>yyyy</w:t>
            </w:r>
            <w:proofErr w:type="spellEnd"/>
            <w:r w:rsidRPr="009E2A1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E2A15" w:rsidRPr="009E2A15" w:rsidRDefault="009E2A15" w:rsidP="009E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15">
              <w:rPr>
                <w:rFonts w:ascii="Times New Roman" w:hAnsi="Times New Roman" w:cs="Times New Roman"/>
                <w:b/>
              </w:rPr>
              <w:t>Year to Date</w:t>
            </w:r>
          </w:p>
          <w:p w:rsidR="009E2A15" w:rsidRPr="009E2A15" w:rsidRDefault="009E2A15" w:rsidP="009E2A1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2A15">
              <w:rPr>
                <w:rFonts w:ascii="Times New Roman" w:hAnsi="Times New Roman" w:cs="Times New Roman"/>
                <w:b/>
              </w:rPr>
              <w:t>Figurs</w:t>
            </w:r>
            <w:proofErr w:type="spellEnd"/>
            <w:r w:rsidRPr="009E2A15">
              <w:rPr>
                <w:rFonts w:ascii="Times New Roman" w:hAnsi="Times New Roman" w:cs="Times New Roman"/>
                <w:b/>
              </w:rPr>
              <w:t xml:space="preserve"> for</w:t>
            </w:r>
          </w:p>
          <w:p w:rsidR="009E2A15" w:rsidRPr="009E2A15" w:rsidRDefault="009E2A15" w:rsidP="009E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15">
              <w:rPr>
                <w:rFonts w:ascii="Times New Roman" w:hAnsi="Times New Roman" w:cs="Times New Roman"/>
                <w:b/>
              </w:rPr>
              <w:t>Current Period</w:t>
            </w:r>
          </w:p>
          <w:p w:rsidR="009E2A15" w:rsidRPr="009E2A15" w:rsidRDefault="009E2A15" w:rsidP="009E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15">
              <w:rPr>
                <w:rFonts w:ascii="Times New Roman" w:hAnsi="Times New Roman" w:cs="Times New Roman"/>
                <w:b/>
              </w:rPr>
              <w:t>Ended</w:t>
            </w:r>
          </w:p>
          <w:p w:rsidR="009E2A15" w:rsidRPr="009E2A15" w:rsidRDefault="009E2A15" w:rsidP="009E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1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9E2A1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9E2A1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9E2A15">
              <w:rPr>
                <w:rFonts w:ascii="Times New Roman" w:hAnsi="Times New Roman" w:cs="Times New Roman"/>
                <w:b/>
              </w:rPr>
              <w:t>yyyy</w:t>
            </w:r>
            <w:proofErr w:type="spellEnd"/>
            <w:r w:rsidRPr="009E2A1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E2A15" w:rsidRPr="009E2A15" w:rsidRDefault="009E2A15" w:rsidP="009E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15">
              <w:rPr>
                <w:rFonts w:ascii="Times New Roman" w:hAnsi="Times New Roman" w:cs="Times New Roman"/>
                <w:b/>
              </w:rPr>
              <w:t>Previous</w:t>
            </w:r>
          </w:p>
          <w:p w:rsidR="009E2A15" w:rsidRPr="009E2A15" w:rsidRDefault="009E2A15" w:rsidP="009E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15">
              <w:rPr>
                <w:rFonts w:ascii="Times New Roman" w:hAnsi="Times New Roman" w:cs="Times New Roman"/>
                <w:b/>
              </w:rPr>
              <w:t>accounting</w:t>
            </w:r>
          </w:p>
          <w:p w:rsidR="009E2A15" w:rsidRPr="009E2A15" w:rsidRDefault="009E2A15" w:rsidP="009E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15">
              <w:rPr>
                <w:rFonts w:ascii="Times New Roman" w:hAnsi="Times New Roman" w:cs="Times New Roman"/>
                <w:b/>
              </w:rPr>
              <w:t>year ended</w:t>
            </w:r>
          </w:p>
          <w:p w:rsidR="009E2A15" w:rsidRPr="009E2A15" w:rsidRDefault="009E2A15" w:rsidP="009E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1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9E2A1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9E2A1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9E2A15">
              <w:rPr>
                <w:rFonts w:ascii="Times New Roman" w:hAnsi="Times New Roman" w:cs="Times New Roman"/>
                <w:b/>
              </w:rPr>
              <w:t>yyyy</w:t>
            </w:r>
            <w:proofErr w:type="spellEnd"/>
            <w:r w:rsidRPr="009E2A1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E2A15" w:rsidRPr="009E2A15" w:rsidTr="009E2A15">
        <w:trPr>
          <w:trHeight w:val="420"/>
        </w:trPr>
        <w:tc>
          <w:tcPr>
            <w:tcW w:w="2707" w:type="dxa"/>
            <w:vMerge/>
          </w:tcPr>
          <w:p w:rsidR="009E2A15" w:rsidRPr="009E2A15" w:rsidRDefault="009E2A15" w:rsidP="009E2A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9E2A15" w:rsidRPr="009E2A15" w:rsidRDefault="009E2A15" w:rsidP="009E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15">
              <w:rPr>
                <w:rFonts w:ascii="Times New Roman" w:hAnsi="Times New Roman" w:cs="Times New Roman"/>
                <w:b/>
              </w:rPr>
              <w:t>Audited/</w:t>
            </w:r>
          </w:p>
          <w:p w:rsidR="009E2A15" w:rsidRPr="009E2A15" w:rsidRDefault="009E2A15" w:rsidP="009E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15">
              <w:rPr>
                <w:rFonts w:ascii="Times New Roman" w:hAnsi="Times New Roman" w:cs="Times New Roman"/>
                <w:b/>
              </w:rPr>
              <w:t>Unaudited*</w:t>
            </w:r>
          </w:p>
          <w:p w:rsidR="009E2A15" w:rsidRPr="009E2A15" w:rsidRDefault="009E2A15" w:rsidP="009E2A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E2A15" w:rsidRPr="009E2A15" w:rsidRDefault="009E2A15" w:rsidP="009E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15">
              <w:rPr>
                <w:rFonts w:ascii="Times New Roman" w:hAnsi="Times New Roman" w:cs="Times New Roman"/>
                <w:b/>
              </w:rPr>
              <w:t>Audited/</w:t>
            </w:r>
          </w:p>
          <w:p w:rsidR="009E2A15" w:rsidRPr="009E2A15" w:rsidRDefault="009E2A15" w:rsidP="009E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15">
              <w:rPr>
                <w:rFonts w:ascii="Times New Roman" w:hAnsi="Times New Roman" w:cs="Times New Roman"/>
                <w:b/>
              </w:rPr>
              <w:t>Unaudited*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9E2A15" w:rsidRPr="009E2A15" w:rsidRDefault="009E2A15" w:rsidP="009E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15">
              <w:rPr>
                <w:rFonts w:ascii="Times New Roman" w:hAnsi="Times New Roman" w:cs="Times New Roman"/>
                <w:b/>
              </w:rPr>
              <w:t>Audited/</w:t>
            </w:r>
          </w:p>
          <w:p w:rsidR="009E2A15" w:rsidRPr="009E2A15" w:rsidRDefault="009E2A15" w:rsidP="009E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15">
              <w:rPr>
                <w:rFonts w:ascii="Times New Roman" w:hAnsi="Times New Roman" w:cs="Times New Roman"/>
                <w:b/>
              </w:rPr>
              <w:t>Unaudited*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E2A15" w:rsidRPr="009E2A15" w:rsidRDefault="009E2A15" w:rsidP="009E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15">
              <w:rPr>
                <w:rFonts w:ascii="Times New Roman" w:hAnsi="Times New Roman" w:cs="Times New Roman"/>
                <w:b/>
              </w:rPr>
              <w:t>Audited/</w:t>
            </w:r>
          </w:p>
          <w:p w:rsidR="009E2A15" w:rsidRPr="009E2A15" w:rsidRDefault="009E2A15" w:rsidP="009E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15">
              <w:rPr>
                <w:rFonts w:ascii="Times New Roman" w:hAnsi="Times New Roman" w:cs="Times New Roman"/>
                <w:b/>
              </w:rPr>
              <w:t>Unaudited*</w:t>
            </w:r>
          </w:p>
        </w:tc>
      </w:tr>
      <w:tr w:rsidR="009E2A15" w:rsidRPr="009E2A15" w:rsidTr="009E2A15">
        <w:tc>
          <w:tcPr>
            <w:tcW w:w="2707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  <w:r w:rsidRPr="009E2A15">
              <w:rPr>
                <w:rFonts w:ascii="Times New Roman" w:hAnsi="Times New Roman" w:cs="Times New Roman"/>
              </w:rPr>
              <w:t>1. Interest earned (a)+(b)+(c)+(d)</w:t>
            </w:r>
          </w:p>
        </w:tc>
        <w:tc>
          <w:tcPr>
            <w:tcW w:w="2153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</w:tr>
      <w:tr w:rsidR="009E2A15" w:rsidRPr="009E2A15" w:rsidTr="009E2A15">
        <w:tc>
          <w:tcPr>
            <w:tcW w:w="2707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(a) Interest/disc. On </w:t>
            </w:r>
            <w:r w:rsidRPr="009E2A15">
              <w:rPr>
                <w:rFonts w:ascii="Times New Roman" w:hAnsi="Times New Roman" w:cs="Times New Roman"/>
              </w:rPr>
              <w:t>advances/ bills</w:t>
            </w:r>
          </w:p>
        </w:tc>
        <w:tc>
          <w:tcPr>
            <w:tcW w:w="2153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</w:tr>
      <w:tr w:rsidR="009E2A15" w:rsidRPr="009E2A15" w:rsidTr="009E2A15">
        <w:tc>
          <w:tcPr>
            <w:tcW w:w="2707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  <w:r w:rsidRPr="009E2A15">
              <w:rPr>
                <w:rFonts w:ascii="Times New Roman" w:hAnsi="Times New Roman" w:cs="Times New Roman"/>
              </w:rPr>
              <w:t>(b) Income on investments</w:t>
            </w:r>
          </w:p>
        </w:tc>
        <w:tc>
          <w:tcPr>
            <w:tcW w:w="2153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</w:tr>
      <w:tr w:rsidR="009E2A15" w:rsidRPr="009E2A15" w:rsidTr="009E2A15">
        <w:tc>
          <w:tcPr>
            <w:tcW w:w="2707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  <w:r w:rsidRPr="009E2A15">
              <w:rPr>
                <w:rFonts w:ascii="Times New Roman" w:hAnsi="Times New Roman" w:cs="Times New Roman"/>
              </w:rPr>
              <w:t>(c) Interest on balances with Reserve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2A15">
              <w:rPr>
                <w:rFonts w:ascii="Times New Roman" w:hAnsi="Times New Roman" w:cs="Times New Roman"/>
              </w:rPr>
              <w:t>Bank of India and other interbank funds</w:t>
            </w:r>
          </w:p>
        </w:tc>
        <w:tc>
          <w:tcPr>
            <w:tcW w:w="2153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</w:tr>
      <w:tr w:rsidR="009E2A15" w:rsidRPr="009E2A15" w:rsidTr="009E2A15">
        <w:tc>
          <w:tcPr>
            <w:tcW w:w="2707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  <w:r w:rsidRPr="009E2A15">
              <w:rPr>
                <w:rFonts w:ascii="Times New Roman" w:hAnsi="Times New Roman" w:cs="Times New Roman"/>
              </w:rPr>
              <w:t>(d) Others</w:t>
            </w:r>
          </w:p>
        </w:tc>
        <w:tc>
          <w:tcPr>
            <w:tcW w:w="2153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</w:tr>
      <w:tr w:rsidR="009E2A15" w:rsidRPr="009E2A15" w:rsidTr="009E2A15">
        <w:tc>
          <w:tcPr>
            <w:tcW w:w="2707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  <w:r w:rsidRPr="009E2A15">
              <w:rPr>
                <w:rFonts w:ascii="Times New Roman" w:hAnsi="Times New Roman" w:cs="Times New Roman"/>
              </w:rPr>
              <w:t>2. Other Income</w:t>
            </w:r>
          </w:p>
        </w:tc>
        <w:tc>
          <w:tcPr>
            <w:tcW w:w="2153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</w:tr>
      <w:tr w:rsidR="009E2A15" w:rsidRPr="009E2A15" w:rsidTr="009E2A15">
        <w:tc>
          <w:tcPr>
            <w:tcW w:w="2707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  <w:r w:rsidRPr="009E2A15">
              <w:rPr>
                <w:rFonts w:ascii="Times New Roman" w:hAnsi="Times New Roman" w:cs="Times New Roman"/>
              </w:rPr>
              <w:t>3. Total Income (1+2)</w:t>
            </w:r>
          </w:p>
        </w:tc>
        <w:tc>
          <w:tcPr>
            <w:tcW w:w="2153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</w:tr>
      <w:tr w:rsidR="009E2A15" w:rsidRPr="009E2A15" w:rsidTr="009E2A15">
        <w:tc>
          <w:tcPr>
            <w:tcW w:w="2707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  <w:r w:rsidRPr="009E2A15">
              <w:rPr>
                <w:rFonts w:ascii="Times New Roman" w:hAnsi="Times New Roman" w:cs="Times New Roman"/>
              </w:rPr>
              <w:t>4. Interest Expended</w:t>
            </w:r>
          </w:p>
        </w:tc>
        <w:tc>
          <w:tcPr>
            <w:tcW w:w="2153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</w:tr>
      <w:tr w:rsidR="009E2A15" w:rsidRPr="009E2A15" w:rsidTr="009E2A15">
        <w:tc>
          <w:tcPr>
            <w:tcW w:w="2707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  <w:r w:rsidRPr="009E2A15">
              <w:rPr>
                <w:rFonts w:ascii="Times New Roman" w:hAnsi="Times New Roman" w:cs="Times New Roman"/>
              </w:rPr>
              <w:t>5. Operating Expenses (</w:t>
            </w:r>
            <w:proofErr w:type="spellStart"/>
            <w:r w:rsidRPr="009E2A15">
              <w:rPr>
                <w:rFonts w:ascii="Times New Roman" w:hAnsi="Times New Roman" w:cs="Times New Roman"/>
              </w:rPr>
              <w:t>i</w:t>
            </w:r>
            <w:proofErr w:type="spellEnd"/>
            <w:r w:rsidRPr="009E2A15">
              <w:rPr>
                <w:rFonts w:ascii="Times New Roman" w:hAnsi="Times New Roman" w:cs="Times New Roman"/>
              </w:rPr>
              <w:t>)+(ii)</w:t>
            </w:r>
          </w:p>
        </w:tc>
        <w:tc>
          <w:tcPr>
            <w:tcW w:w="2153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</w:tr>
      <w:tr w:rsidR="009E2A15" w:rsidRPr="009E2A15" w:rsidTr="009E2A15">
        <w:tc>
          <w:tcPr>
            <w:tcW w:w="2707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  <w:r w:rsidRPr="009E2A15">
              <w:rPr>
                <w:rFonts w:ascii="Times New Roman" w:hAnsi="Times New Roman" w:cs="Times New Roman"/>
              </w:rPr>
              <w:t>(</w:t>
            </w:r>
            <w:proofErr w:type="spellStart"/>
            <w:r w:rsidRPr="009E2A15">
              <w:rPr>
                <w:rFonts w:ascii="Times New Roman" w:hAnsi="Times New Roman" w:cs="Times New Roman"/>
              </w:rPr>
              <w:t>i</w:t>
            </w:r>
            <w:proofErr w:type="spellEnd"/>
            <w:r w:rsidRPr="009E2A15">
              <w:rPr>
                <w:rFonts w:ascii="Times New Roman" w:hAnsi="Times New Roman" w:cs="Times New Roman"/>
              </w:rPr>
              <w:t>) Employees cost</w:t>
            </w:r>
          </w:p>
        </w:tc>
        <w:tc>
          <w:tcPr>
            <w:tcW w:w="2153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</w:tr>
      <w:tr w:rsidR="009E2A15" w:rsidRPr="009E2A15" w:rsidTr="009E2A15">
        <w:tc>
          <w:tcPr>
            <w:tcW w:w="2707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  <w:r w:rsidRPr="009E2A15">
              <w:rPr>
                <w:rFonts w:ascii="Times New Roman" w:hAnsi="Times New Roman" w:cs="Times New Roman"/>
              </w:rPr>
              <w:t>(ii) Other operating expenses</w:t>
            </w:r>
          </w:p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  <w:r w:rsidRPr="009E2A15">
              <w:rPr>
                <w:rFonts w:ascii="Times New Roman" w:hAnsi="Times New Roman" w:cs="Times New Roman"/>
              </w:rPr>
              <w:t>(All items exceeding 10% of the total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2A15">
              <w:rPr>
                <w:rFonts w:ascii="Times New Roman" w:hAnsi="Times New Roman" w:cs="Times New Roman"/>
              </w:rPr>
              <w:t>expenditure excluding interest</w:t>
            </w:r>
          </w:p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  <w:r w:rsidRPr="009E2A15">
              <w:rPr>
                <w:rFonts w:ascii="Times New Roman" w:hAnsi="Times New Roman" w:cs="Times New Roman"/>
              </w:rPr>
              <w:t>expenditure may be shown separately)</w:t>
            </w:r>
          </w:p>
        </w:tc>
        <w:tc>
          <w:tcPr>
            <w:tcW w:w="2153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</w:tr>
      <w:tr w:rsidR="009E2A15" w:rsidRPr="009E2A15" w:rsidTr="009E2A15">
        <w:tc>
          <w:tcPr>
            <w:tcW w:w="2707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  <w:r w:rsidRPr="009E2A15">
              <w:rPr>
                <w:rFonts w:ascii="Times New Roman" w:hAnsi="Times New Roman" w:cs="Times New Roman"/>
              </w:rPr>
              <w:t>6. Total Expenditure ((4+5) excluding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2A15">
              <w:rPr>
                <w:rFonts w:ascii="Times New Roman" w:hAnsi="Times New Roman" w:cs="Times New Roman"/>
              </w:rPr>
              <w:t>provisions and contingencies</w:t>
            </w:r>
          </w:p>
        </w:tc>
        <w:tc>
          <w:tcPr>
            <w:tcW w:w="2153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</w:tr>
      <w:tr w:rsidR="009E2A15" w:rsidRPr="009E2A15" w:rsidTr="009E2A15">
        <w:tc>
          <w:tcPr>
            <w:tcW w:w="2707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  <w:r w:rsidRPr="009E2A15">
              <w:rPr>
                <w:rFonts w:ascii="Times New Roman" w:hAnsi="Times New Roman" w:cs="Times New Roman"/>
              </w:rPr>
              <w:t>7. Operating Profit before Provisions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2A15">
              <w:rPr>
                <w:rFonts w:ascii="Times New Roman" w:hAnsi="Times New Roman" w:cs="Times New Roman"/>
              </w:rPr>
              <w:t>Contingencies (3-6)</w:t>
            </w:r>
          </w:p>
        </w:tc>
        <w:tc>
          <w:tcPr>
            <w:tcW w:w="2153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</w:tr>
      <w:tr w:rsidR="009E2A15" w:rsidRPr="009E2A15" w:rsidTr="009E2A15">
        <w:tc>
          <w:tcPr>
            <w:tcW w:w="2707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  <w:r w:rsidRPr="009E2A15">
              <w:rPr>
                <w:rFonts w:ascii="Times New Roman" w:hAnsi="Times New Roman" w:cs="Times New Roman"/>
              </w:rPr>
              <w:t>8. Provisions (other than tax)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2A15">
              <w:rPr>
                <w:rFonts w:ascii="Times New Roman" w:hAnsi="Times New Roman" w:cs="Times New Roman"/>
              </w:rPr>
              <w:t>Contingencies</w:t>
            </w:r>
          </w:p>
        </w:tc>
        <w:tc>
          <w:tcPr>
            <w:tcW w:w="2153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</w:tr>
      <w:tr w:rsidR="009E2A15" w:rsidRPr="009E2A15" w:rsidTr="009E2A15">
        <w:tc>
          <w:tcPr>
            <w:tcW w:w="2707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  <w:r w:rsidRPr="009E2A15">
              <w:rPr>
                <w:rFonts w:ascii="Times New Roman" w:hAnsi="Times New Roman" w:cs="Times New Roman"/>
              </w:rPr>
              <w:t>9. Exceptional Items</w:t>
            </w:r>
          </w:p>
        </w:tc>
        <w:tc>
          <w:tcPr>
            <w:tcW w:w="2153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</w:tr>
      <w:tr w:rsidR="009E2A15" w:rsidRPr="009E2A15" w:rsidTr="009E2A15">
        <w:tc>
          <w:tcPr>
            <w:tcW w:w="2707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  <w:r w:rsidRPr="009E2A15">
              <w:rPr>
                <w:rFonts w:ascii="Times New Roman" w:hAnsi="Times New Roman" w:cs="Times New Roman"/>
              </w:rPr>
              <w:t xml:space="preserve">10. Profit (+)/ Loss (-) from </w:t>
            </w:r>
            <w:r w:rsidRPr="009E2A15">
              <w:rPr>
                <w:rFonts w:ascii="Times New Roman" w:hAnsi="Times New Roman" w:cs="Times New Roman"/>
              </w:rPr>
              <w:lastRenderedPageBreak/>
              <w:t>Ordinary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2A15">
              <w:rPr>
                <w:rFonts w:ascii="Times New Roman" w:hAnsi="Times New Roman" w:cs="Times New Roman"/>
              </w:rPr>
              <w:t>Activities before tax (7-8-9)</w:t>
            </w:r>
          </w:p>
        </w:tc>
        <w:tc>
          <w:tcPr>
            <w:tcW w:w="2153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</w:tr>
      <w:tr w:rsidR="009E2A15" w:rsidRPr="009E2A15" w:rsidTr="009E2A15">
        <w:tc>
          <w:tcPr>
            <w:tcW w:w="2707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  <w:r w:rsidRPr="009E2A15">
              <w:rPr>
                <w:rFonts w:ascii="Times New Roman" w:hAnsi="Times New Roman" w:cs="Times New Roman"/>
              </w:rPr>
              <w:lastRenderedPageBreak/>
              <w:t>11. Tax expense</w:t>
            </w:r>
          </w:p>
        </w:tc>
        <w:tc>
          <w:tcPr>
            <w:tcW w:w="2153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</w:tr>
      <w:tr w:rsidR="009E2A15" w:rsidRPr="009E2A15" w:rsidTr="009E2A15">
        <w:tc>
          <w:tcPr>
            <w:tcW w:w="2707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  <w:r w:rsidRPr="009E2A15">
              <w:rPr>
                <w:rFonts w:ascii="Times New Roman" w:hAnsi="Times New Roman" w:cs="Times New Roman"/>
              </w:rPr>
              <w:t>12. Net Profit(+)/ Loss(-) from Ordinary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2A15">
              <w:rPr>
                <w:rFonts w:ascii="Times New Roman" w:hAnsi="Times New Roman" w:cs="Times New Roman"/>
              </w:rPr>
              <w:t>Activities after tax (10-11)</w:t>
            </w:r>
          </w:p>
        </w:tc>
        <w:tc>
          <w:tcPr>
            <w:tcW w:w="2153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</w:tr>
      <w:tr w:rsidR="009E2A15" w:rsidRPr="009E2A15" w:rsidTr="009E2A15">
        <w:tc>
          <w:tcPr>
            <w:tcW w:w="2707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  <w:r w:rsidRPr="009E2A15">
              <w:rPr>
                <w:rFonts w:ascii="Times New Roman" w:hAnsi="Times New Roman" w:cs="Times New Roman"/>
              </w:rPr>
              <w:t>13. Extraordinary items (net of tax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2A15">
              <w:rPr>
                <w:rFonts w:ascii="Times New Roman" w:hAnsi="Times New Roman" w:cs="Times New Roman"/>
              </w:rPr>
              <w:t>expense)</w:t>
            </w:r>
          </w:p>
        </w:tc>
        <w:tc>
          <w:tcPr>
            <w:tcW w:w="2153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</w:tr>
      <w:tr w:rsidR="009E2A15" w:rsidRPr="009E2A15" w:rsidTr="009E2A15">
        <w:tc>
          <w:tcPr>
            <w:tcW w:w="2707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  <w:r w:rsidRPr="009E2A15">
              <w:rPr>
                <w:rFonts w:ascii="Times New Roman" w:hAnsi="Times New Roman" w:cs="Times New Roman"/>
              </w:rPr>
              <w:t>14. Net Profit (+)/ Loss (–) for the period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2A15">
              <w:rPr>
                <w:rFonts w:ascii="Times New Roman" w:hAnsi="Times New Roman" w:cs="Times New Roman"/>
              </w:rPr>
              <w:t>(12-13)</w:t>
            </w:r>
          </w:p>
        </w:tc>
        <w:tc>
          <w:tcPr>
            <w:tcW w:w="2153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</w:tr>
      <w:tr w:rsidR="009E2A15" w:rsidRPr="009E2A15" w:rsidTr="009E2A15">
        <w:tc>
          <w:tcPr>
            <w:tcW w:w="2707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  <w:r w:rsidRPr="009E2A15">
              <w:rPr>
                <w:rFonts w:ascii="Times New Roman" w:hAnsi="Times New Roman" w:cs="Times New Roman"/>
              </w:rPr>
              <w:t>15. Paid-up equity share capital (Face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2A15">
              <w:rPr>
                <w:rFonts w:ascii="Times New Roman" w:hAnsi="Times New Roman" w:cs="Times New Roman"/>
              </w:rPr>
              <w:t>Value of the Share shall be indicated)</w:t>
            </w:r>
          </w:p>
        </w:tc>
        <w:tc>
          <w:tcPr>
            <w:tcW w:w="2153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</w:tr>
      <w:tr w:rsidR="009E2A15" w:rsidRPr="009E2A15" w:rsidTr="009E2A15">
        <w:tc>
          <w:tcPr>
            <w:tcW w:w="2707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  <w:r w:rsidRPr="009E2A15">
              <w:rPr>
                <w:rFonts w:ascii="Times New Roman" w:hAnsi="Times New Roman" w:cs="Times New Roman"/>
              </w:rPr>
              <w:t>16. Reserves excluding Revaluation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2A15">
              <w:rPr>
                <w:rFonts w:ascii="Times New Roman" w:hAnsi="Times New Roman" w:cs="Times New Roman"/>
              </w:rPr>
              <w:t>Reserves (as</w:t>
            </w:r>
          </w:p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  <w:r w:rsidRPr="009E2A15">
              <w:rPr>
                <w:rFonts w:ascii="Times New Roman" w:hAnsi="Times New Roman" w:cs="Times New Roman"/>
              </w:rPr>
              <w:t>per balance sheet of previous accounting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2A15">
              <w:rPr>
                <w:rFonts w:ascii="Times New Roman" w:hAnsi="Times New Roman" w:cs="Times New Roman"/>
              </w:rPr>
              <w:t>year)</w:t>
            </w:r>
          </w:p>
        </w:tc>
        <w:tc>
          <w:tcPr>
            <w:tcW w:w="2153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</w:tr>
      <w:tr w:rsidR="009E2A15" w:rsidRPr="009E2A15" w:rsidTr="009E2A15">
        <w:tc>
          <w:tcPr>
            <w:tcW w:w="2707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  <w:r w:rsidRPr="009E2A15">
              <w:rPr>
                <w:rFonts w:ascii="Times New Roman" w:hAnsi="Times New Roman" w:cs="Times New Roman"/>
              </w:rPr>
              <w:t>17. Analytical Ratios</w:t>
            </w:r>
          </w:p>
        </w:tc>
        <w:tc>
          <w:tcPr>
            <w:tcW w:w="2153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</w:tr>
      <w:tr w:rsidR="009E2A15" w:rsidRPr="009E2A15" w:rsidTr="009E2A15">
        <w:tc>
          <w:tcPr>
            <w:tcW w:w="2707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  <w:r w:rsidRPr="009E2A15">
              <w:rPr>
                <w:rFonts w:ascii="Times New Roman" w:hAnsi="Times New Roman" w:cs="Times New Roman"/>
              </w:rPr>
              <w:t>(</w:t>
            </w:r>
            <w:proofErr w:type="spellStart"/>
            <w:r w:rsidRPr="009E2A15">
              <w:rPr>
                <w:rFonts w:ascii="Times New Roman" w:hAnsi="Times New Roman" w:cs="Times New Roman"/>
              </w:rPr>
              <w:t>i</w:t>
            </w:r>
            <w:proofErr w:type="spellEnd"/>
            <w:r w:rsidRPr="009E2A15">
              <w:rPr>
                <w:rFonts w:ascii="Times New Roman" w:hAnsi="Times New Roman" w:cs="Times New Roman"/>
              </w:rPr>
              <w:t>) Capital Adequacy Ratio</w:t>
            </w:r>
          </w:p>
        </w:tc>
        <w:tc>
          <w:tcPr>
            <w:tcW w:w="2153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</w:tr>
      <w:tr w:rsidR="009E2A15" w:rsidRPr="009E2A15" w:rsidTr="009E2A15">
        <w:tc>
          <w:tcPr>
            <w:tcW w:w="2707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  <w:r w:rsidRPr="009E2A15">
              <w:rPr>
                <w:rFonts w:ascii="Times New Roman" w:hAnsi="Times New Roman" w:cs="Times New Roman"/>
              </w:rPr>
              <w:t>(ii) Earnings Per Share (EPS)</w:t>
            </w:r>
          </w:p>
        </w:tc>
        <w:tc>
          <w:tcPr>
            <w:tcW w:w="2153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</w:tr>
      <w:tr w:rsidR="009E2A15" w:rsidRPr="009E2A15" w:rsidTr="009E2A15">
        <w:tc>
          <w:tcPr>
            <w:tcW w:w="2707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  <w:r w:rsidRPr="009E2A15">
              <w:rPr>
                <w:rFonts w:ascii="Times New Roman" w:hAnsi="Times New Roman" w:cs="Times New Roman"/>
              </w:rPr>
              <w:t>18) NPA Ratios</w:t>
            </w:r>
          </w:p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  <w:r w:rsidRPr="009E2A15">
              <w:rPr>
                <w:rFonts w:ascii="Times New Roman" w:hAnsi="Times New Roman" w:cs="Times New Roman"/>
              </w:rPr>
              <w:t>a) Gross/Net NPA</w:t>
            </w:r>
          </w:p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  <w:r w:rsidRPr="009E2A15">
              <w:rPr>
                <w:rFonts w:ascii="Times New Roman" w:hAnsi="Times New Roman" w:cs="Times New Roman"/>
              </w:rPr>
              <w:t>b) % of Gross/Net NPA</w:t>
            </w:r>
          </w:p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  <w:r w:rsidRPr="009E2A15">
              <w:rPr>
                <w:rFonts w:ascii="Times New Roman" w:hAnsi="Times New Roman" w:cs="Times New Roman"/>
              </w:rPr>
              <w:t>c) Return on Assets</w:t>
            </w:r>
          </w:p>
        </w:tc>
        <w:tc>
          <w:tcPr>
            <w:tcW w:w="2153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E2A15" w:rsidRPr="009E2A15" w:rsidRDefault="009E2A15" w:rsidP="009E2A15">
            <w:pPr>
              <w:rPr>
                <w:rFonts w:ascii="Times New Roman" w:hAnsi="Times New Roman" w:cs="Times New Roman"/>
              </w:rPr>
            </w:pPr>
          </w:p>
        </w:tc>
      </w:tr>
    </w:tbl>
    <w:p w:rsidR="009E2A15" w:rsidRPr="009E2A15" w:rsidRDefault="009E2A15" w:rsidP="009E2A15">
      <w:pPr>
        <w:ind w:left="-990" w:right="-900"/>
        <w:rPr>
          <w:rFonts w:ascii="Times New Roman" w:hAnsi="Times New Roman" w:cs="Times New Roman"/>
        </w:rPr>
      </w:pPr>
      <w:r w:rsidRPr="009E2A15">
        <w:rPr>
          <w:rFonts w:ascii="Times New Roman" w:hAnsi="Times New Roman" w:cs="Times New Roman"/>
        </w:rPr>
        <w:t>*strike off whichever is not applicable</w:t>
      </w:r>
    </w:p>
    <w:p w:rsidR="009E2A15" w:rsidRPr="009E2A15" w:rsidRDefault="009E2A15" w:rsidP="009E2A15">
      <w:pPr>
        <w:ind w:left="-990" w:right="-900"/>
        <w:rPr>
          <w:rFonts w:ascii="Times New Roman" w:hAnsi="Times New Roman" w:cs="Times New Roman"/>
          <w:b/>
        </w:rPr>
      </w:pPr>
      <w:r w:rsidRPr="009E2A15">
        <w:rPr>
          <w:rFonts w:ascii="Times New Roman" w:hAnsi="Times New Roman" w:cs="Times New Roman"/>
          <w:b/>
        </w:rPr>
        <w:t>Notes (as per RBI requirements)</w:t>
      </w:r>
    </w:p>
    <w:p w:rsidR="009E2A15" w:rsidRPr="009E2A15" w:rsidRDefault="009E2A15" w:rsidP="009E2A15">
      <w:pPr>
        <w:pStyle w:val="ListParagraph"/>
        <w:numPr>
          <w:ilvl w:val="0"/>
          <w:numId w:val="1"/>
        </w:numPr>
        <w:ind w:left="-630" w:right="-900"/>
        <w:rPr>
          <w:rFonts w:ascii="Times New Roman" w:hAnsi="Times New Roman" w:cs="Times New Roman"/>
        </w:rPr>
      </w:pPr>
      <w:r w:rsidRPr="009E2A15">
        <w:rPr>
          <w:rFonts w:ascii="Times New Roman" w:hAnsi="Times New Roman" w:cs="Times New Roman"/>
        </w:rPr>
        <w:t xml:space="preserve">Employee cost under </w:t>
      </w:r>
      <w:proofErr w:type="gramStart"/>
      <w:r w:rsidRPr="009E2A15">
        <w:rPr>
          <w:rFonts w:ascii="Times New Roman" w:hAnsi="Times New Roman" w:cs="Times New Roman"/>
        </w:rPr>
        <w:t>Operating</w:t>
      </w:r>
      <w:proofErr w:type="gramEnd"/>
      <w:r w:rsidRPr="009E2A15">
        <w:rPr>
          <w:rFonts w:ascii="Times New Roman" w:hAnsi="Times New Roman" w:cs="Times New Roman"/>
        </w:rPr>
        <w:t xml:space="preserve"> expenses to include all forms of consideration given by the bank in Exchange for services rendered by employees. It should also include provisions for post-employment benefits such as gratuity, pension, other retirement benefits, etc.</w:t>
      </w:r>
    </w:p>
    <w:p w:rsidR="00457433" w:rsidRPr="009E2A15" w:rsidRDefault="009E2A15" w:rsidP="009E2A15">
      <w:pPr>
        <w:pStyle w:val="ListParagraph"/>
        <w:numPr>
          <w:ilvl w:val="0"/>
          <w:numId w:val="1"/>
        </w:numPr>
        <w:ind w:left="-630" w:right="-900"/>
        <w:rPr>
          <w:rFonts w:ascii="Times New Roman" w:hAnsi="Times New Roman" w:cs="Times New Roman"/>
        </w:rPr>
      </w:pPr>
      <w:r w:rsidRPr="009E2A15">
        <w:rPr>
          <w:rFonts w:ascii="Times New Roman" w:hAnsi="Times New Roman" w:cs="Times New Roman"/>
        </w:rPr>
        <w:t>Extraordinary items as defined in Accounting Standard 5 as income or expenses that arise from the ordinary activities of the enterprise and therefore, are not expected to recur frequently or regularly.</w:t>
      </w:r>
    </w:p>
    <w:p w:rsidR="009E2A15" w:rsidRPr="009E2A15" w:rsidRDefault="009E2A15" w:rsidP="009E2A15">
      <w:pPr>
        <w:ind w:left="-630"/>
        <w:rPr>
          <w:rFonts w:ascii="Times New Roman" w:hAnsi="Times New Roman" w:cs="Times New Roman"/>
        </w:rPr>
      </w:pPr>
    </w:p>
    <w:sectPr w:rsidR="009E2A15" w:rsidRPr="009E2A15" w:rsidSect="00457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7202"/>
    <w:multiLevelType w:val="hybridMultilevel"/>
    <w:tmpl w:val="F314DF4A"/>
    <w:lvl w:ilvl="0" w:tplc="7BB8E154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">
    <w:nsid w:val="72C12F36"/>
    <w:multiLevelType w:val="hybridMultilevel"/>
    <w:tmpl w:val="F0383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E2A15"/>
    <w:rsid w:val="00457433"/>
    <w:rsid w:val="009E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india</cp:lastModifiedBy>
  <cp:revision>1</cp:revision>
  <dcterms:created xsi:type="dcterms:W3CDTF">2016-01-14T06:49:00Z</dcterms:created>
  <dcterms:modified xsi:type="dcterms:W3CDTF">2016-01-14T06:58:00Z</dcterms:modified>
</cp:coreProperties>
</file>